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13" w:rsidRDefault="00A95113" w:rsidP="00A95113"/>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600"/>
        <w:gridCol w:w="12180"/>
        <w:gridCol w:w="600"/>
      </w:tblGrid>
      <w:tr w:rsidR="00A95113" w:rsidTr="00A95113">
        <w:trPr>
          <w:tblCellSpacing w:w="0" w:type="dxa"/>
          <w:jc w:val="center"/>
        </w:trPr>
        <w:tc>
          <w:tcPr>
            <w:tcW w:w="0" w:type="auto"/>
            <w:gridSpan w:val="3"/>
            <w:shd w:val="clear" w:color="auto" w:fill="FFFFFF"/>
            <w:vAlign w:val="bottom"/>
            <w:hideMark/>
          </w:tcPr>
          <w:p w:rsidR="00A95113" w:rsidRDefault="00A95113">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371475"/>
                  <wp:effectExtent l="0" t="0" r="0" b="9525"/>
                  <wp:wrapSquare wrapText="bothSides"/>
                  <wp:docPr id="12" name="Picture 12" descr="ul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c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714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381000"/>
                  <wp:effectExtent l="0" t="0" r="0" b="0"/>
                  <wp:wrapSquare wrapText="bothSides"/>
                  <wp:docPr id="11" name="Picture 11" descr="ur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pic:spPr>
                      </pic:pic>
                    </a:graphicData>
                  </a:graphic>
                  <wp14:sizeRelH relativeFrom="page">
                    <wp14:pctWidth>0</wp14:pctWidth>
                  </wp14:sizeRelH>
                  <wp14:sizeRelV relativeFrom="page">
                    <wp14:pctHeight>0</wp14:pctHeight>
                  </wp14:sizeRelV>
                </wp:anchor>
              </w:drawing>
            </w:r>
          </w:p>
        </w:tc>
      </w:tr>
      <w:tr w:rsidR="00A95113" w:rsidTr="00A95113">
        <w:trPr>
          <w:tblCellSpacing w:w="0" w:type="dxa"/>
          <w:jc w:val="center"/>
        </w:trPr>
        <w:tc>
          <w:tcPr>
            <w:tcW w:w="0" w:type="auto"/>
            <w:shd w:val="clear" w:color="auto" w:fill="FFFFFF"/>
            <w:hideMark/>
          </w:tcPr>
          <w:p w:rsidR="00A95113" w:rsidRDefault="00A95113">
            <w:pPr>
              <w:rPr>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71475" cy="1533525"/>
                  <wp:effectExtent l="0" t="0" r="9525" b="9525"/>
                  <wp:wrapSquare wrapText="bothSides"/>
                  <wp:docPr id="10" name="Picture 10" descr="cab89e849d95be53de02598e53aab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89e849d95be53de02598e53aab00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53352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nil"/>
              <w:right w:val="nil"/>
            </w:tcBorders>
            <w:shd w:val="clear" w:color="auto" w:fill="FFFFFF"/>
            <w:vAlign w:val="center"/>
            <w:hideMark/>
          </w:tcPr>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8340"/>
              <w:gridCol w:w="3840"/>
            </w:tblGrid>
            <w:tr w:rsidR="00A95113">
              <w:trPr>
                <w:tblCellSpacing w:w="0" w:type="dxa"/>
                <w:jc w:val="center"/>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6090"/>
                    <w:gridCol w:w="6090"/>
                  </w:tblGrid>
                  <w:tr w:rsidR="00A95113">
                    <w:trPr>
                      <w:tblCellSpacing w:w="0" w:type="dxa"/>
                    </w:trPr>
                    <w:tc>
                      <w:tcPr>
                        <w:tcW w:w="6000" w:type="dxa"/>
                        <w:vAlign w:val="center"/>
                        <w:hideMark/>
                      </w:tcPr>
                      <w:p w:rsidR="00A95113" w:rsidRDefault="00A95113">
                        <w:r>
                          <w:rPr>
                            <w:noProof/>
                          </w:rPr>
                          <w:drawing>
                            <wp:inline distT="0" distB="0" distL="0" distR="0">
                              <wp:extent cx="876300" cy="752475"/>
                              <wp:effectExtent l="0" t="0" r="0" b="9525"/>
                              <wp:docPr id="8" name="Picture 8" descr="rit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i-logo.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76300" cy="752475"/>
                                      </a:xfrm>
                                      <a:prstGeom prst="rect">
                                        <a:avLst/>
                                      </a:prstGeom>
                                      <a:noFill/>
                                      <a:ln>
                                        <a:noFill/>
                                      </a:ln>
                                    </pic:spPr>
                                  </pic:pic>
                                </a:graphicData>
                              </a:graphic>
                            </wp:inline>
                          </w:drawing>
                        </w:r>
                      </w:p>
                    </w:tc>
                    <w:tc>
                      <w:tcPr>
                        <w:tcW w:w="6000" w:type="dxa"/>
                        <w:vAlign w:val="center"/>
                        <w:hideMark/>
                      </w:tcPr>
                      <w:p w:rsidR="00A95113" w:rsidRDefault="00A95113">
                        <w:pPr>
                          <w:rPr>
                            <w:rFonts w:eastAsia="Times New Roman"/>
                            <w:sz w:val="20"/>
                            <w:szCs w:val="20"/>
                          </w:rPr>
                        </w:pPr>
                      </w:p>
                    </w:tc>
                  </w:tr>
                </w:tbl>
                <w:p w:rsidR="00A95113" w:rsidRDefault="00A95113">
                  <w:pPr>
                    <w:rPr>
                      <w:rFonts w:eastAsia="Times New Roman"/>
                      <w:sz w:val="20"/>
                      <w:szCs w:val="20"/>
                    </w:rPr>
                  </w:pPr>
                </w:p>
              </w:tc>
            </w:tr>
            <w:tr w:rsidR="00A95113">
              <w:trPr>
                <w:tblCellSpacing w:w="0" w:type="dxa"/>
                <w:jc w:val="center"/>
              </w:trPr>
              <w:tc>
                <w:tcPr>
                  <w:tcW w:w="0" w:type="auto"/>
                  <w:gridSpan w:val="2"/>
                  <w:shd w:val="clear" w:color="auto" w:fill="FFFFFF"/>
                  <w:vAlign w:val="center"/>
                  <w:hideMark/>
                </w:tcPr>
                <w:p w:rsidR="00A95113" w:rsidRDefault="00A95113">
                  <w:r>
                    <w:rPr>
                      <w:noProof/>
                    </w:rPr>
                    <w:drawing>
                      <wp:inline distT="0" distB="0" distL="0" distR="0">
                        <wp:extent cx="7724775" cy="523875"/>
                        <wp:effectExtent l="0" t="0" r="9525" b="9525"/>
                        <wp:docPr id="7" name="Picture 7" descr="ra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p2.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724775" cy="523875"/>
                                </a:xfrm>
                                <a:prstGeom prst="rect">
                                  <a:avLst/>
                                </a:prstGeom>
                                <a:noFill/>
                                <a:ln>
                                  <a:noFill/>
                                </a:ln>
                              </pic:spPr>
                            </pic:pic>
                          </a:graphicData>
                        </a:graphic>
                      </wp:inline>
                    </w:drawing>
                  </w:r>
                </w:p>
              </w:tc>
            </w:tr>
            <w:tr w:rsidR="00A95113">
              <w:trPr>
                <w:tblCellSpacing w:w="0" w:type="dxa"/>
                <w:jc w:val="center"/>
              </w:trPr>
              <w:tc>
                <w:tcPr>
                  <w:tcW w:w="0" w:type="auto"/>
                  <w:gridSpan w:val="2"/>
                  <w:shd w:val="clear" w:color="auto" w:fill="FFFFFF"/>
                  <w:vAlign w:val="center"/>
                  <w:hideMark/>
                </w:tcPr>
                <w:tbl>
                  <w:tblPr>
                    <w:tblpPr w:leftFromText="45" w:rightFromText="45" w:vertAnchor="text" w:tblpXSpec="right" w:tblpYSpec="center"/>
                    <w:tblW w:w="0" w:type="auto"/>
                    <w:tblCellSpacing w:w="37" w:type="dxa"/>
                    <w:tblCellMar>
                      <w:left w:w="0" w:type="dxa"/>
                      <w:right w:w="0" w:type="dxa"/>
                    </w:tblCellMar>
                    <w:tblLook w:val="04A0" w:firstRow="1" w:lastRow="0" w:firstColumn="1" w:lastColumn="0" w:noHBand="0" w:noVBand="1"/>
                  </w:tblPr>
                  <w:tblGrid>
                    <w:gridCol w:w="501"/>
                    <w:gridCol w:w="465"/>
                    <w:gridCol w:w="153"/>
                    <w:gridCol w:w="975"/>
                    <w:gridCol w:w="153"/>
                    <w:gridCol w:w="1364"/>
                    <w:gridCol w:w="234"/>
                    <w:gridCol w:w="1892"/>
                  </w:tblGrid>
                  <w:tr w:rsidR="00A95113">
                    <w:trPr>
                      <w:tblCellSpacing w:w="37" w:type="dxa"/>
                    </w:trPr>
                    <w:tc>
                      <w:tcPr>
                        <w:tcW w:w="0" w:type="auto"/>
                        <w:tcMar>
                          <w:top w:w="15" w:type="dxa"/>
                          <w:left w:w="15" w:type="dxa"/>
                          <w:bottom w:w="15" w:type="dxa"/>
                          <w:right w:w="15" w:type="dxa"/>
                        </w:tcMar>
                        <w:vAlign w:val="center"/>
                        <w:hideMark/>
                      </w:tcPr>
                      <w:p w:rsidR="00A95113" w:rsidRDefault="00A95113">
                        <w:r>
                          <w:t> </w:t>
                        </w:r>
                        <w:r>
                          <w:rPr>
                            <w:noProof/>
                            <w:color w:val="0000FF"/>
                          </w:rPr>
                          <w:drawing>
                            <wp:inline distT="0" distB="0" distL="0" distR="0">
                              <wp:extent cx="190500" cy="190500"/>
                              <wp:effectExtent l="0" t="0" r="0" b="0"/>
                              <wp:docPr id="6" name="Picture 6" descr="facebook-icon.p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icon.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A95113" w:rsidRDefault="00A95113">
                        <w:hyperlink r:id="rId16" w:tgtFrame="_blank" w:history="1">
                          <w:r>
                            <w:rPr>
                              <w:rStyle w:val="Hyperlink"/>
                              <w:rFonts w:ascii="Arial" w:hAnsi="Arial" w:cs="Arial"/>
                              <w:b/>
                              <w:bCs/>
                              <w:color w:val="666666"/>
                              <w:sz w:val="18"/>
                              <w:szCs w:val="18"/>
                            </w:rPr>
                            <w:t>Like</w:t>
                          </w:r>
                        </w:hyperlink>
                      </w:p>
                    </w:tc>
                    <w:tc>
                      <w:tcPr>
                        <w:tcW w:w="0" w:type="auto"/>
                        <w:tcMar>
                          <w:top w:w="15" w:type="dxa"/>
                          <w:left w:w="15" w:type="dxa"/>
                          <w:bottom w:w="15" w:type="dxa"/>
                          <w:right w:w="15" w:type="dxa"/>
                        </w:tcMar>
                        <w:vAlign w:val="center"/>
                        <w:hideMark/>
                      </w:tcPr>
                      <w:p w:rsidR="00A95113" w:rsidRDefault="00A95113">
                        <w:r>
                          <w:t>|</w:t>
                        </w:r>
                      </w:p>
                    </w:tc>
                    <w:tc>
                      <w:tcPr>
                        <w:tcW w:w="0" w:type="auto"/>
                        <w:tcMar>
                          <w:top w:w="15" w:type="dxa"/>
                          <w:left w:w="15" w:type="dxa"/>
                          <w:bottom w:w="15" w:type="dxa"/>
                          <w:right w:w="15" w:type="dxa"/>
                        </w:tcMar>
                        <w:vAlign w:val="center"/>
                        <w:hideMark/>
                      </w:tcPr>
                      <w:p w:rsidR="00A95113" w:rsidRDefault="00A95113">
                        <w:hyperlink r:id="rId17" w:history="1">
                          <w:r>
                            <w:rPr>
                              <w:rStyle w:val="Hyperlink"/>
                              <w:rFonts w:ascii="Arial" w:hAnsi="Arial" w:cs="Arial"/>
                              <w:b/>
                              <w:bCs/>
                              <w:color w:val="666666"/>
                              <w:sz w:val="18"/>
                              <w:szCs w:val="18"/>
                            </w:rPr>
                            <w:t>Subscribe</w:t>
                          </w:r>
                        </w:hyperlink>
                      </w:p>
                    </w:tc>
                    <w:tc>
                      <w:tcPr>
                        <w:tcW w:w="0" w:type="auto"/>
                        <w:tcMar>
                          <w:top w:w="15" w:type="dxa"/>
                          <w:left w:w="15" w:type="dxa"/>
                          <w:bottom w:w="15" w:type="dxa"/>
                          <w:right w:w="15" w:type="dxa"/>
                        </w:tcMar>
                        <w:vAlign w:val="center"/>
                        <w:hideMark/>
                      </w:tcPr>
                      <w:p w:rsidR="00A95113" w:rsidRDefault="00A95113">
                        <w:r>
                          <w:t>|</w:t>
                        </w:r>
                      </w:p>
                    </w:tc>
                    <w:tc>
                      <w:tcPr>
                        <w:tcW w:w="0" w:type="auto"/>
                        <w:tcMar>
                          <w:top w:w="15" w:type="dxa"/>
                          <w:left w:w="15" w:type="dxa"/>
                          <w:bottom w:w="15" w:type="dxa"/>
                          <w:right w:w="15" w:type="dxa"/>
                        </w:tcMar>
                        <w:vAlign w:val="center"/>
                        <w:hideMark/>
                      </w:tcPr>
                      <w:p w:rsidR="00A95113" w:rsidRDefault="00A95113">
                        <w:hyperlink r:id="rId18" w:history="1">
                          <w:r>
                            <w:rPr>
                              <w:rStyle w:val="Hyperlink"/>
                              <w:rFonts w:ascii="Arial" w:hAnsi="Arial" w:cs="Arial"/>
                              <w:b/>
                              <w:bCs/>
                              <w:color w:val="666666"/>
                              <w:sz w:val="18"/>
                              <w:szCs w:val="18"/>
                            </w:rPr>
                            <w:t>Send to Friend</w:t>
                          </w:r>
                        </w:hyperlink>
                      </w:p>
                    </w:tc>
                    <w:tc>
                      <w:tcPr>
                        <w:tcW w:w="0" w:type="auto"/>
                        <w:tcMar>
                          <w:top w:w="15" w:type="dxa"/>
                          <w:left w:w="15" w:type="dxa"/>
                          <w:bottom w:w="15" w:type="dxa"/>
                          <w:right w:w="15" w:type="dxa"/>
                        </w:tcMar>
                        <w:vAlign w:val="center"/>
                        <w:hideMark/>
                      </w:tcPr>
                      <w:p w:rsidR="00A95113" w:rsidRDefault="00A95113">
                        <w:r>
                          <w:rPr>
                            <w:rFonts w:ascii="Arial" w:hAnsi="Arial" w:cs="Arial"/>
                          </w:rPr>
                          <w:t> |</w:t>
                        </w:r>
                      </w:p>
                    </w:tc>
                    <w:tc>
                      <w:tcPr>
                        <w:tcW w:w="0" w:type="auto"/>
                        <w:tcMar>
                          <w:top w:w="15" w:type="dxa"/>
                          <w:left w:w="15" w:type="dxa"/>
                          <w:bottom w:w="15" w:type="dxa"/>
                          <w:right w:w="15" w:type="dxa"/>
                        </w:tcMar>
                        <w:vAlign w:val="center"/>
                        <w:hideMark/>
                      </w:tcPr>
                      <w:p w:rsidR="00A95113" w:rsidRDefault="00A95113">
                        <w:hyperlink r:id="rId19" w:tgtFrame="_blank" w:history="1">
                          <w:r>
                            <w:rPr>
                              <w:rStyle w:val="Hyperlink"/>
                              <w:rFonts w:ascii="Arial" w:hAnsi="Arial" w:cs="Arial"/>
                              <w:b/>
                              <w:bCs/>
                              <w:color w:val="666666"/>
                              <w:sz w:val="18"/>
                              <w:szCs w:val="18"/>
                            </w:rPr>
                            <w:t>Request Information</w:t>
                          </w:r>
                        </w:hyperlink>
                      </w:p>
                    </w:tc>
                  </w:tr>
                </w:tbl>
                <w:p w:rsidR="00A95113" w:rsidRDefault="00A95113">
                  <w:pPr>
                    <w:rPr>
                      <w:rFonts w:eastAsia="Times New Roman"/>
                      <w:sz w:val="20"/>
                      <w:szCs w:val="20"/>
                    </w:rPr>
                  </w:pPr>
                </w:p>
              </w:tc>
            </w:tr>
            <w:tr w:rsidR="00A95113">
              <w:trPr>
                <w:tblCellSpacing w:w="0" w:type="dxa"/>
                <w:jc w:val="center"/>
              </w:trPr>
              <w:tc>
                <w:tcPr>
                  <w:tcW w:w="0" w:type="auto"/>
                  <w:gridSpan w:val="2"/>
                  <w:shd w:val="clear" w:color="auto" w:fill="FFFFFF"/>
                  <w:hideMark/>
                </w:tcPr>
                <w:p w:rsidR="00A95113" w:rsidRDefault="00A95113">
                  <w:pPr>
                    <w:pStyle w:val="NormalWeb"/>
                    <w:spacing w:before="210" w:beforeAutospacing="0" w:after="210" w:afterAutospacing="0"/>
                    <w:jc w:val="center"/>
                  </w:pPr>
                  <w:r>
                    <w:rPr>
                      <w:rStyle w:val="Strong"/>
                      <w:rFonts w:ascii="Arial" w:hAnsi="Arial" w:cs="Arial"/>
                      <w:color w:val="FF9900"/>
                      <w:sz w:val="20"/>
                      <w:szCs w:val="20"/>
                    </w:rPr>
                    <w:t> </w:t>
                  </w:r>
                  <w:r>
                    <w:rPr>
                      <w:rStyle w:val="Strong"/>
                      <w:rFonts w:ascii="Arial" w:hAnsi="Arial" w:cs="Arial"/>
                      <w:color w:val="000000"/>
                      <w:sz w:val="20"/>
                      <w:szCs w:val="20"/>
                    </w:rPr>
                    <w:t>The Regional IT Institute Launches the 17</w:t>
                  </w:r>
                  <w:r>
                    <w:rPr>
                      <w:rStyle w:val="Strong"/>
                      <w:rFonts w:ascii="Arial" w:hAnsi="Arial" w:cs="Arial"/>
                      <w:color w:val="000000"/>
                      <w:sz w:val="20"/>
                      <w:szCs w:val="20"/>
                      <w:vertAlign w:val="superscript"/>
                    </w:rPr>
                    <w:t>th</w:t>
                  </w:r>
                  <w:r>
                    <w:rPr>
                      <w:rStyle w:val="Strong"/>
                      <w:rFonts w:ascii="Arial" w:hAnsi="Arial" w:cs="Arial"/>
                      <w:color w:val="000000"/>
                      <w:sz w:val="20"/>
                      <w:szCs w:val="20"/>
                    </w:rPr>
                    <w:t xml:space="preserve"> Round of</w:t>
                  </w:r>
                  <w:r>
                    <w:rPr>
                      <w:rFonts w:ascii="Arial" w:hAnsi="Arial" w:cs="Arial"/>
                      <w:color w:val="000000"/>
                      <w:sz w:val="20"/>
                      <w:szCs w:val="20"/>
                    </w:rPr>
                    <w:br/>
                  </w:r>
                  <w:bookmarkStart w:id="0" w:name="_GoBack"/>
                  <w:r>
                    <w:rPr>
                      <w:rStyle w:val="Strong"/>
                      <w:rFonts w:ascii="Arial" w:hAnsi="Arial" w:cs="Arial"/>
                      <w:color w:val="FF9900"/>
                      <w:sz w:val="36"/>
                      <w:szCs w:val="36"/>
                    </w:rPr>
                    <w:t>RITI Advanced Management Program</w:t>
                  </w:r>
                  <w:r>
                    <w:rPr>
                      <w:rFonts w:ascii="Arial" w:hAnsi="Arial" w:cs="Arial"/>
                      <w:b/>
                      <w:bCs/>
                      <w:color w:val="FF9900"/>
                      <w:sz w:val="36"/>
                      <w:szCs w:val="36"/>
                    </w:rPr>
                    <w:br/>
                  </w:r>
                  <w:r>
                    <w:rPr>
                      <w:rStyle w:val="Strong"/>
                      <w:rFonts w:ascii="Arial" w:hAnsi="Arial" w:cs="Arial"/>
                      <w:color w:val="FF9900"/>
                      <w:sz w:val="36"/>
                      <w:szCs w:val="36"/>
                    </w:rPr>
                    <w:t>RAMP</w:t>
                  </w:r>
                  <w:bookmarkEnd w:id="0"/>
                </w:p>
              </w:tc>
            </w:tr>
            <w:tr w:rsidR="00A95113">
              <w:trPr>
                <w:tblCellSpacing w:w="0" w:type="dxa"/>
                <w:jc w:val="center"/>
              </w:trPr>
              <w:tc>
                <w:tcPr>
                  <w:tcW w:w="0" w:type="auto"/>
                  <w:shd w:val="clear" w:color="auto" w:fill="FFFFFF"/>
                  <w:hideMark/>
                </w:tcPr>
                <w:tbl>
                  <w:tblPr>
                    <w:tblW w:w="8250" w:type="dxa"/>
                    <w:tblCellSpacing w:w="15" w:type="dxa"/>
                    <w:tblCellMar>
                      <w:left w:w="0" w:type="dxa"/>
                      <w:right w:w="0" w:type="dxa"/>
                    </w:tblCellMar>
                    <w:tblLook w:val="04A0" w:firstRow="1" w:lastRow="0" w:firstColumn="1" w:lastColumn="0" w:noHBand="0" w:noVBand="1"/>
                  </w:tblPr>
                  <w:tblGrid>
                    <w:gridCol w:w="8340"/>
                  </w:tblGrid>
                  <w:tr w:rsidR="00A95113">
                    <w:trPr>
                      <w:tblCellSpacing w:w="15" w:type="dxa"/>
                    </w:trPr>
                    <w:tc>
                      <w:tcPr>
                        <w:tcW w:w="0" w:type="auto"/>
                        <w:tcMar>
                          <w:top w:w="15" w:type="dxa"/>
                          <w:left w:w="15" w:type="dxa"/>
                          <w:bottom w:w="15" w:type="dxa"/>
                          <w:right w:w="15" w:type="dxa"/>
                        </w:tcMar>
                        <w:vAlign w:val="center"/>
                        <w:hideMark/>
                      </w:tcPr>
                      <w:p w:rsidR="00A95113" w:rsidRDefault="00A95113">
                        <w:r>
                          <w:t> </w:t>
                        </w:r>
                      </w:p>
                    </w:tc>
                  </w:tr>
                  <w:tr w:rsidR="00A95113">
                    <w:trPr>
                      <w:tblCellSpacing w:w="15" w:type="dxa"/>
                    </w:trPr>
                    <w:tc>
                      <w:tcPr>
                        <w:tcW w:w="0" w:type="auto"/>
                        <w:tcMar>
                          <w:top w:w="0" w:type="dxa"/>
                          <w:left w:w="375" w:type="dxa"/>
                          <w:bottom w:w="0" w:type="dxa"/>
                          <w:right w:w="75" w:type="dxa"/>
                        </w:tcMar>
                        <w:vAlign w:val="center"/>
                        <w:hideMark/>
                      </w:tcPr>
                      <w:p w:rsidR="00A95113" w:rsidRDefault="00A95113">
                        <w:pPr>
                          <w:pStyle w:val="Heading1"/>
                          <w:spacing w:before="0" w:beforeAutospacing="0" w:after="0" w:afterAutospacing="0"/>
                          <w:jc w:val="both"/>
                          <w:rPr>
                            <w:rFonts w:eastAsia="Times New Roman"/>
                          </w:rPr>
                        </w:pPr>
                        <w:r>
                          <w:rPr>
                            <w:rFonts w:ascii="Arial" w:eastAsia="Times New Roman" w:hAnsi="Arial" w:cs="Arial"/>
                            <w:color w:val="FF9900"/>
                            <w:sz w:val="27"/>
                            <w:szCs w:val="27"/>
                          </w:rPr>
                          <w:t>Overview</w:t>
                        </w:r>
                      </w:p>
                    </w:tc>
                  </w:tr>
                  <w:tr w:rsidR="00A95113">
                    <w:trPr>
                      <w:tblCellSpacing w:w="15" w:type="dxa"/>
                    </w:trPr>
                    <w:tc>
                      <w:tcPr>
                        <w:tcW w:w="0" w:type="auto"/>
                        <w:tcMar>
                          <w:top w:w="0" w:type="dxa"/>
                          <w:left w:w="375" w:type="dxa"/>
                          <w:bottom w:w="0" w:type="dxa"/>
                          <w:right w:w="75" w:type="dxa"/>
                        </w:tcMar>
                        <w:vAlign w:val="center"/>
                        <w:hideMark/>
                      </w:tcPr>
                      <w:p w:rsidR="00A95113" w:rsidRDefault="00A95113">
                        <w:pPr>
                          <w:spacing w:after="240"/>
                          <w:jc w:val="both"/>
                        </w:pPr>
                        <w:r>
                          <w:rPr>
                            <w:rFonts w:ascii="Arial" w:hAnsi="Arial" w:cs="Arial"/>
                            <w:sz w:val="20"/>
                            <w:szCs w:val="20"/>
                          </w:rPr>
                          <w:t>As the Arab region has become one of the most dynamic business markets in the world, young managers started to face complicated challenges. Those challenges and difficulties have to be addressed by adequate training that equips managers with frameworks that will structure their creative thinking and prepare them to manage their departments productively. This program aims to prepare managers at the start of their managerial careers to deal with higher levels of management responsibility.</w:t>
                        </w:r>
                      </w:p>
                    </w:tc>
                  </w:tr>
                  <w:tr w:rsidR="00A95113">
                    <w:trPr>
                      <w:tblCellSpacing w:w="15" w:type="dxa"/>
                    </w:trPr>
                    <w:tc>
                      <w:tcPr>
                        <w:tcW w:w="0" w:type="auto"/>
                        <w:tcMar>
                          <w:top w:w="15" w:type="dxa"/>
                          <w:left w:w="15" w:type="dxa"/>
                          <w:bottom w:w="15" w:type="dxa"/>
                          <w:right w:w="15" w:type="dxa"/>
                        </w:tcMar>
                        <w:vAlign w:val="center"/>
                        <w:hideMark/>
                      </w:tcPr>
                      <w:p w:rsidR="00A95113" w:rsidRDefault="00A95113">
                        <w:r>
                          <w:rPr>
                            <w:rFonts w:ascii="Arial" w:hAnsi="Arial" w:cs="Arial"/>
                            <w:noProof/>
                          </w:rPr>
                          <w:drawing>
                            <wp:inline distT="0" distB="0" distL="0" distR="0">
                              <wp:extent cx="5229225" cy="114300"/>
                              <wp:effectExtent l="0" t="0" r="9525" b="0"/>
                              <wp:docPr id="5" name="Picture 5"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litter.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A95113">
                    <w:trPr>
                      <w:tblCellSpacing w:w="15" w:type="dxa"/>
                    </w:trPr>
                    <w:tc>
                      <w:tcPr>
                        <w:tcW w:w="0" w:type="auto"/>
                        <w:tcMar>
                          <w:top w:w="0" w:type="dxa"/>
                          <w:left w:w="375" w:type="dxa"/>
                          <w:bottom w:w="0" w:type="dxa"/>
                          <w:right w:w="75" w:type="dxa"/>
                        </w:tcMar>
                        <w:vAlign w:val="center"/>
                        <w:hideMark/>
                      </w:tcPr>
                      <w:p w:rsidR="00A95113" w:rsidRDefault="00A95113">
                        <w:pPr>
                          <w:pStyle w:val="Heading1"/>
                          <w:spacing w:before="0" w:beforeAutospacing="0" w:after="0" w:afterAutospacing="0"/>
                          <w:rPr>
                            <w:rFonts w:eastAsia="Times New Roman"/>
                          </w:rPr>
                        </w:pPr>
                        <w:r>
                          <w:rPr>
                            <w:rFonts w:ascii="Arial" w:eastAsia="Times New Roman" w:hAnsi="Arial" w:cs="Arial"/>
                            <w:color w:val="FF9900"/>
                            <w:sz w:val="27"/>
                            <w:szCs w:val="27"/>
                          </w:rPr>
                          <w:t>﻿Modules Included</w:t>
                        </w:r>
                      </w:p>
                    </w:tc>
                  </w:tr>
                  <w:tr w:rsidR="00A95113">
                    <w:trPr>
                      <w:tblCellSpacing w:w="15" w:type="dxa"/>
                    </w:trPr>
                    <w:tc>
                      <w:tcPr>
                        <w:tcW w:w="0" w:type="auto"/>
                        <w:tcMar>
                          <w:top w:w="0" w:type="dxa"/>
                          <w:left w:w="375" w:type="dxa"/>
                          <w:bottom w:w="0" w:type="dxa"/>
                          <w:right w:w="75" w:type="dxa"/>
                        </w:tcMar>
                        <w:vAlign w:val="center"/>
                        <w:hideMark/>
                      </w:tcPr>
                      <w:p w:rsidR="00A95113" w:rsidRDefault="00A95113" w:rsidP="000D1D1B">
                        <w:pPr>
                          <w:numPr>
                            <w:ilvl w:val="0"/>
                            <w:numId w:val="1"/>
                          </w:numPr>
                          <w:spacing w:before="100" w:beforeAutospacing="1" w:after="100" w:afterAutospacing="1"/>
                          <w:rPr>
                            <w:rFonts w:eastAsia="Times New Roman"/>
                          </w:rPr>
                        </w:pPr>
                        <w:r>
                          <w:rPr>
                            <w:rFonts w:ascii="Arial" w:eastAsia="Times New Roman" w:hAnsi="Arial" w:cs="Arial"/>
                            <w:sz w:val="20"/>
                            <w:szCs w:val="20"/>
                          </w:rPr>
                          <w:t>Marketing: A Key Success Factor (20 Hours)</w:t>
                        </w:r>
                      </w:p>
                      <w:p w:rsidR="00A95113" w:rsidRDefault="00A95113" w:rsidP="000D1D1B">
                        <w:pPr>
                          <w:numPr>
                            <w:ilvl w:val="0"/>
                            <w:numId w:val="1"/>
                          </w:numPr>
                          <w:spacing w:before="100" w:beforeAutospacing="1" w:after="100" w:afterAutospacing="1"/>
                          <w:rPr>
                            <w:rFonts w:eastAsia="Times New Roman"/>
                          </w:rPr>
                        </w:pPr>
                        <w:r>
                          <w:rPr>
                            <w:rFonts w:ascii="Arial" w:eastAsia="Times New Roman" w:hAnsi="Arial" w:cs="Arial"/>
                            <w:sz w:val="20"/>
                            <w:szCs w:val="20"/>
                          </w:rPr>
                          <w:t>Mastering the Sales Process (20 Hours)</w:t>
                        </w:r>
                      </w:p>
                      <w:p w:rsidR="00A95113" w:rsidRDefault="00A95113" w:rsidP="000D1D1B">
                        <w:pPr>
                          <w:numPr>
                            <w:ilvl w:val="0"/>
                            <w:numId w:val="1"/>
                          </w:numPr>
                          <w:spacing w:before="100" w:beforeAutospacing="1" w:after="100" w:afterAutospacing="1"/>
                          <w:rPr>
                            <w:rFonts w:eastAsia="Times New Roman"/>
                          </w:rPr>
                        </w:pPr>
                        <w:r>
                          <w:rPr>
                            <w:rFonts w:ascii="Arial" w:eastAsia="Times New Roman" w:hAnsi="Arial" w:cs="Arial"/>
                            <w:sz w:val="20"/>
                            <w:szCs w:val="20"/>
                          </w:rPr>
                          <w:t>Business in Global Context (16 Hours)</w:t>
                        </w:r>
                      </w:p>
                      <w:p w:rsidR="00A95113" w:rsidRDefault="00A95113" w:rsidP="000D1D1B">
                        <w:pPr>
                          <w:numPr>
                            <w:ilvl w:val="0"/>
                            <w:numId w:val="1"/>
                          </w:numPr>
                          <w:spacing w:before="100" w:beforeAutospacing="1" w:after="100" w:afterAutospacing="1"/>
                          <w:rPr>
                            <w:rFonts w:eastAsia="Times New Roman"/>
                          </w:rPr>
                        </w:pPr>
                        <w:r>
                          <w:rPr>
                            <w:rFonts w:ascii="Arial" w:eastAsia="Times New Roman" w:hAnsi="Arial" w:cs="Arial"/>
                            <w:sz w:val="20"/>
                            <w:szCs w:val="20"/>
                          </w:rPr>
                          <w:t>Creating, Structuring and Managing Organizations (20 Hours)</w:t>
                        </w:r>
                      </w:p>
                      <w:p w:rsidR="00A95113" w:rsidRDefault="00A95113" w:rsidP="000D1D1B">
                        <w:pPr>
                          <w:numPr>
                            <w:ilvl w:val="0"/>
                            <w:numId w:val="1"/>
                          </w:numPr>
                          <w:spacing w:before="100" w:beforeAutospacing="1" w:after="100" w:afterAutospacing="1"/>
                          <w:rPr>
                            <w:rFonts w:eastAsia="Times New Roman"/>
                          </w:rPr>
                        </w:pPr>
                        <w:r>
                          <w:rPr>
                            <w:rFonts w:ascii="Arial" w:eastAsia="Times New Roman" w:hAnsi="Arial" w:cs="Arial"/>
                            <w:sz w:val="20"/>
                            <w:szCs w:val="20"/>
                          </w:rPr>
                          <w:t>Business Strategy for Leaders (20 Hours)</w:t>
                        </w:r>
                      </w:p>
                      <w:p w:rsidR="00A95113" w:rsidRDefault="00A95113" w:rsidP="000D1D1B">
                        <w:pPr>
                          <w:numPr>
                            <w:ilvl w:val="0"/>
                            <w:numId w:val="1"/>
                          </w:numPr>
                          <w:spacing w:before="100" w:beforeAutospacing="1" w:after="100" w:afterAutospacing="1"/>
                          <w:rPr>
                            <w:rFonts w:eastAsia="Times New Roman"/>
                          </w:rPr>
                        </w:pPr>
                        <w:r>
                          <w:rPr>
                            <w:rFonts w:ascii="Arial" w:eastAsia="Times New Roman" w:hAnsi="Arial" w:cs="Arial"/>
                            <w:sz w:val="20"/>
                            <w:szCs w:val="20"/>
                          </w:rPr>
                          <w:t>Understanding Business through Managerial Finance (20 Hours)</w:t>
                        </w:r>
                      </w:p>
                      <w:p w:rsidR="00A95113" w:rsidRDefault="00A95113" w:rsidP="000D1D1B">
                        <w:pPr>
                          <w:numPr>
                            <w:ilvl w:val="0"/>
                            <w:numId w:val="1"/>
                          </w:numPr>
                          <w:spacing w:before="100" w:beforeAutospacing="1" w:after="100" w:afterAutospacing="1"/>
                          <w:rPr>
                            <w:rFonts w:eastAsia="Times New Roman"/>
                          </w:rPr>
                        </w:pPr>
                        <w:r>
                          <w:rPr>
                            <w:rFonts w:ascii="Arial" w:eastAsia="Times New Roman" w:hAnsi="Arial" w:cs="Arial"/>
                            <w:sz w:val="20"/>
                            <w:szCs w:val="20"/>
                          </w:rPr>
                          <w:t>Business Planning (16 Hours)</w:t>
                        </w:r>
                      </w:p>
                    </w:tc>
                  </w:tr>
                  <w:tr w:rsidR="00A95113">
                    <w:trPr>
                      <w:tblCellSpacing w:w="15" w:type="dxa"/>
                    </w:trPr>
                    <w:tc>
                      <w:tcPr>
                        <w:tcW w:w="0" w:type="auto"/>
                        <w:tcMar>
                          <w:top w:w="15" w:type="dxa"/>
                          <w:left w:w="15" w:type="dxa"/>
                          <w:bottom w:w="15" w:type="dxa"/>
                          <w:right w:w="15" w:type="dxa"/>
                        </w:tcMar>
                        <w:vAlign w:val="center"/>
                        <w:hideMark/>
                      </w:tcPr>
                      <w:p w:rsidR="00A95113" w:rsidRDefault="00A95113">
                        <w:r>
                          <w:rPr>
                            <w:noProof/>
                          </w:rPr>
                          <w:drawing>
                            <wp:inline distT="0" distB="0" distL="0" distR="0">
                              <wp:extent cx="5229225" cy="114300"/>
                              <wp:effectExtent l="0" t="0" r="9525" b="0"/>
                              <wp:docPr id="4" name="Picture 4"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litter.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A95113">
                    <w:trPr>
                      <w:tblCellSpacing w:w="15" w:type="dxa"/>
                    </w:trPr>
                    <w:tc>
                      <w:tcPr>
                        <w:tcW w:w="0" w:type="auto"/>
                        <w:tcMar>
                          <w:top w:w="0" w:type="dxa"/>
                          <w:left w:w="375" w:type="dxa"/>
                          <w:bottom w:w="0" w:type="dxa"/>
                          <w:right w:w="75" w:type="dxa"/>
                        </w:tcMar>
                        <w:vAlign w:val="center"/>
                        <w:hideMark/>
                      </w:tcPr>
                      <w:p w:rsidR="00A95113" w:rsidRDefault="00A95113">
                        <w:pPr>
                          <w:pStyle w:val="Heading1"/>
                          <w:spacing w:before="0" w:beforeAutospacing="0" w:after="0" w:afterAutospacing="0"/>
                          <w:rPr>
                            <w:rFonts w:eastAsia="Times New Roman"/>
                          </w:rPr>
                        </w:pPr>
                        <w:r>
                          <w:rPr>
                            <w:rFonts w:ascii="Arial" w:eastAsia="Times New Roman" w:hAnsi="Arial" w:cs="Arial"/>
                            <w:color w:val="FF9900"/>
                            <w:sz w:val="27"/>
                            <w:szCs w:val="27"/>
                          </w:rPr>
                          <w:t>Key Benefits</w:t>
                        </w:r>
                      </w:p>
                    </w:tc>
                  </w:tr>
                  <w:tr w:rsidR="00A95113">
                    <w:trPr>
                      <w:tblCellSpacing w:w="15" w:type="dxa"/>
                    </w:trPr>
                    <w:tc>
                      <w:tcPr>
                        <w:tcW w:w="0" w:type="auto"/>
                        <w:tcMar>
                          <w:top w:w="0" w:type="dxa"/>
                          <w:left w:w="375" w:type="dxa"/>
                          <w:bottom w:w="0" w:type="dxa"/>
                          <w:right w:w="75" w:type="dxa"/>
                        </w:tcMar>
                        <w:vAlign w:val="center"/>
                        <w:hideMark/>
                      </w:tcPr>
                      <w:p w:rsidR="00A95113" w:rsidRDefault="00A95113" w:rsidP="000D1D1B">
                        <w:pPr>
                          <w:numPr>
                            <w:ilvl w:val="0"/>
                            <w:numId w:val="2"/>
                          </w:numPr>
                          <w:spacing w:before="100" w:beforeAutospacing="1" w:after="100" w:afterAutospacing="1"/>
                          <w:rPr>
                            <w:rFonts w:eastAsia="Times New Roman"/>
                          </w:rPr>
                        </w:pPr>
                        <w:r>
                          <w:rPr>
                            <w:rFonts w:ascii="Arial" w:eastAsia="Times New Roman" w:hAnsi="Arial" w:cs="Arial"/>
                            <w:sz w:val="20"/>
                            <w:szCs w:val="20"/>
                          </w:rPr>
                          <w:t>Greater perspectives on both professional and personal sides, enabling you to develop and share your vision, lead your company and motivate your employees.</w:t>
                        </w:r>
                      </w:p>
                      <w:p w:rsidR="00A95113" w:rsidRDefault="00A95113" w:rsidP="000D1D1B">
                        <w:pPr>
                          <w:numPr>
                            <w:ilvl w:val="0"/>
                            <w:numId w:val="2"/>
                          </w:numPr>
                          <w:spacing w:before="100" w:beforeAutospacing="1" w:after="100" w:afterAutospacing="1"/>
                          <w:rPr>
                            <w:rFonts w:eastAsia="Times New Roman"/>
                          </w:rPr>
                        </w:pPr>
                        <w:r>
                          <w:rPr>
                            <w:rFonts w:ascii="Arial" w:eastAsia="Times New Roman" w:hAnsi="Arial" w:cs="Arial"/>
                            <w:sz w:val="20"/>
                            <w:szCs w:val="20"/>
                          </w:rPr>
                          <w:t>An integrated vision of different managerial functions and how they work together.</w:t>
                        </w:r>
                      </w:p>
                      <w:p w:rsidR="00A95113" w:rsidRDefault="00A95113" w:rsidP="000D1D1B">
                        <w:pPr>
                          <w:numPr>
                            <w:ilvl w:val="0"/>
                            <w:numId w:val="2"/>
                          </w:numPr>
                          <w:spacing w:before="100" w:beforeAutospacing="1" w:after="100" w:afterAutospacing="1"/>
                          <w:rPr>
                            <w:rFonts w:eastAsia="Times New Roman"/>
                          </w:rPr>
                        </w:pPr>
                        <w:r>
                          <w:rPr>
                            <w:rFonts w:ascii="Arial" w:eastAsia="Times New Roman" w:hAnsi="Arial" w:cs="Arial"/>
                            <w:sz w:val="20"/>
                            <w:szCs w:val="20"/>
                          </w:rPr>
                          <w:t>Global business perceptions through the analysis of best practice companies from a wide range of sectors and countries.</w:t>
                        </w:r>
                      </w:p>
                      <w:p w:rsidR="00A95113" w:rsidRDefault="00A95113" w:rsidP="000D1D1B">
                        <w:pPr>
                          <w:numPr>
                            <w:ilvl w:val="0"/>
                            <w:numId w:val="2"/>
                          </w:numPr>
                          <w:spacing w:before="100" w:beforeAutospacing="1" w:after="100" w:afterAutospacing="1"/>
                          <w:rPr>
                            <w:rFonts w:eastAsia="Times New Roman"/>
                          </w:rPr>
                        </w:pPr>
                        <w:r>
                          <w:rPr>
                            <w:rFonts w:ascii="Arial" w:eastAsia="Times New Roman" w:hAnsi="Arial" w:cs="Arial"/>
                            <w:sz w:val="20"/>
                            <w:szCs w:val="20"/>
                          </w:rPr>
                          <w:t>Solid knowledge base and scientific foundation of management tools that enables you to work as an efficient manager.</w:t>
                        </w:r>
                      </w:p>
                    </w:tc>
                  </w:tr>
                  <w:tr w:rsidR="00A95113">
                    <w:trPr>
                      <w:tblCellSpacing w:w="15" w:type="dxa"/>
                    </w:trPr>
                    <w:tc>
                      <w:tcPr>
                        <w:tcW w:w="0" w:type="auto"/>
                        <w:tcMar>
                          <w:top w:w="15" w:type="dxa"/>
                          <w:left w:w="15" w:type="dxa"/>
                          <w:bottom w:w="15" w:type="dxa"/>
                          <w:right w:w="15" w:type="dxa"/>
                        </w:tcMar>
                        <w:vAlign w:val="center"/>
                        <w:hideMark/>
                      </w:tcPr>
                      <w:p w:rsidR="00A95113" w:rsidRDefault="00A95113">
                        <w:r>
                          <w:rPr>
                            <w:noProof/>
                          </w:rPr>
                          <w:lastRenderedPageBreak/>
                          <w:drawing>
                            <wp:inline distT="0" distB="0" distL="0" distR="0">
                              <wp:extent cx="5229225" cy="114300"/>
                              <wp:effectExtent l="0" t="0" r="9525" b="0"/>
                              <wp:docPr id="3" name="Picture 3"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litter.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bl>
                <w:p w:rsidR="00A95113" w:rsidRDefault="00A95113">
                  <w:pPr>
                    <w:rPr>
                      <w:rFonts w:eastAsia="Times New Roman"/>
                      <w:sz w:val="20"/>
                      <w:szCs w:val="20"/>
                    </w:rPr>
                  </w:pPr>
                </w:p>
              </w:tc>
              <w:tc>
                <w:tcPr>
                  <w:tcW w:w="0" w:type="auto"/>
                  <w:shd w:val="clear" w:color="auto" w:fill="FFFFFF"/>
                  <w:hideMark/>
                </w:tcPr>
                <w:tbl>
                  <w:tblPr>
                    <w:tblW w:w="3750" w:type="dxa"/>
                    <w:tblCellSpacing w:w="75" w:type="dxa"/>
                    <w:tblCellMar>
                      <w:left w:w="0" w:type="dxa"/>
                      <w:right w:w="0" w:type="dxa"/>
                    </w:tblCellMar>
                    <w:tblLook w:val="04A0" w:firstRow="1" w:lastRow="0" w:firstColumn="1" w:lastColumn="0" w:noHBand="0" w:noVBand="1"/>
                  </w:tblPr>
                  <w:tblGrid>
                    <w:gridCol w:w="3750"/>
                  </w:tblGrid>
                  <w:tr w:rsidR="00A95113">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A95113" w:rsidRDefault="00A95113">
                        <w:pPr>
                          <w:pStyle w:val="NormalWeb"/>
                          <w:spacing w:before="0" w:beforeAutospacing="0" w:after="0" w:afterAutospacing="0"/>
                          <w:rPr>
                            <w:b/>
                            <w:bCs/>
                          </w:rPr>
                        </w:pPr>
                        <w:r>
                          <w:rPr>
                            <w:rFonts w:ascii="Arial" w:hAnsi="Arial" w:cs="Arial"/>
                            <w:b/>
                            <w:bCs/>
                            <w:sz w:val="20"/>
                            <w:szCs w:val="20"/>
                          </w:rPr>
                          <w:lastRenderedPageBreak/>
                          <w:t>Start Date:</w:t>
                        </w:r>
                      </w:p>
                      <w:p w:rsidR="00A95113" w:rsidRDefault="00A95113">
                        <w:r>
                          <w:rPr>
                            <w:rFonts w:ascii="Arial" w:hAnsi="Arial" w:cs="Arial"/>
                            <w:sz w:val="20"/>
                            <w:szCs w:val="20"/>
                          </w:rPr>
                          <w:t>22 December 2012</w:t>
                        </w:r>
                        <w:r>
                          <w:t xml:space="preserve"> </w:t>
                        </w:r>
                      </w:p>
                      <w:p w:rsidR="00A95113" w:rsidRDefault="00A95113">
                        <w:pPr>
                          <w:pStyle w:val="NormalWeb"/>
                          <w:spacing w:before="0" w:beforeAutospacing="0" w:after="0" w:afterAutospacing="0"/>
                          <w:rPr>
                            <w:b/>
                            <w:bCs/>
                          </w:rPr>
                        </w:pPr>
                        <w:r>
                          <w:rPr>
                            <w:rFonts w:ascii="Arial" w:hAnsi="Arial" w:cs="Arial"/>
                            <w:b/>
                            <w:bCs/>
                            <w:sz w:val="20"/>
                            <w:szCs w:val="20"/>
                          </w:rPr>
                          <w:t>Registration Deadline:</w:t>
                        </w:r>
                      </w:p>
                      <w:p w:rsidR="00A95113" w:rsidRDefault="00A95113">
                        <w:r>
                          <w:rPr>
                            <w:rFonts w:ascii="Arial" w:hAnsi="Arial" w:cs="Arial"/>
                            <w:sz w:val="20"/>
                            <w:szCs w:val="20"/>
                          </w:rPr>
                          <w:t>9 December 2012</w:t>
                        </w:r>
                        <w:r>
                          <w:t xml:space="preserve"> </w:t>
                        </w:r>
                      </w:p>
                      <w:p w:rsidR="00A95113" w:rsidRDefault="00A95113">
                        <w:pPr>
                          <w:pStyle w:val="NormalWeb"/>
                          <w:spacing w:before="0" w:beforeAutospacing="0" w:after="0" w:afterAutospacing="0"/>
                          <w:rPr>
                            <w:b/>
                            <w:bCs/>
                          </w:rPr>
                        </w:pPr>
                        <w:r>
                          <w:rPr>
                            <w:rFonts w:ascii="Arial" w:hAnsi="Arial" w:cs="Arial"/>
                            <w:b/>
                            <w:bCs/>
                            <w:sz w:val="20"/>
                            <w:szCs w:val="20"/>
                          </w:rPr>
                          <w:t>Duration:</w:t>
                        </w:r>
                      </w:p>
                      <w:p w:rsidR="00A95113" w:rsidRDefault="00A95113">
                        <w:r>
                          <w:rPr>
                            <w:rFonts w:ascii="Arial" w:hAnsi="Arial" w:cs="Arial"/>
                            <w:sz w:val="20"/>
                            <w:szCs w:val="20"/>
                          </w:rPr>
                          <w:t xml:space="preserve">132 Hours - 5 Months </w:t>
                        </w:r>
                      </w:p>
                      <w:p w:rsidR="00A95113" w:rsidRDefault="00A95113">
                        <w:pPr>
                          <w:pStyle w:val="NormalWeb"/>
                          <w:spacing w:before="0" w:beforeAutospacing="0" w:after="0" w:afterAutospacing="0"/>
                          <w:rPr>
                            <w:b/>
                            <w:bCs/>
                          </w:rPr>
                        </w:pPr>
                        <w:r>
                          <w:rPr>
                            <w:rFonts w:ascii="Arial" w:hAnsi="Arial" w:cs="Arial"/>
                            <w:b/>
                            <w:bCs/>
                            <w:sz w:val="20"/>
                            <w:szCs w:val="20"/>
                          </w:rPr>
                          <w:t>Location:</w:t>
                        </w:r>
                      </w:p>
                      <w:p w:rsidR="00A95113" w:rsidRDefault="00A95113">
                        <w:r>
                          <w:rPr>
                            <w:rFonts w:ascii="Arial" w:hAnsi="Arial" w:cs="Arial"/>
                            <w:sz w:val="20"/>
                            <w:szCs w:val="20"/>
                          </w:rPr>
                          <w:t>RITI Premises, Cairo, Egypt</w:t>
                        </w:r>
                      </w:p>
                    </w:tc>
                  </w:tr>
                  <w:tr w:rsidR="00A95113">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A95113" w:rsidRDefault="00A95113">
                        <w:pPr>
                          <w:pStyle w:val="Heading1"/>
                          <w:spacing w:before="0" w:beforeAutospacing="0" w:after="0" w:afterAutospacing="0"/>
                          <w:rPr>
                            <w:rFonts w:ascii="Arial" w:eastAsia="Times New Roman" w:hAnsi="Arial" w:cs="Arial"/>
                            <w:color w:val="993333"/>
                            <w:sz w:val="24"/>
                            <w:szCs w:val="24"/>
                          </w:rPr>
                        </w:pPr>
                        <w:r>
                          <w:rPr>
                            <w:rFonts w:ascii="Arial" w:eastAsia="Times New Roman" w:hAnsi="Arial" w:cs="Arial"/>
                            <w:color w:val="FF9900"/>
                            <w:sz w:val="27"/>
                            <w:szCs w:val="27"/>
                          </w:rPr>
                          <w:t>Participants' Profile</w:t>
                        </w:r>
                      </w:p>
                      <w:p w:rsidR="00A95113" w:rsidRDefault="00A95113">
                        <w:r>
                          <w:rPr>
                            <w:rFonts w:ascii="Arial" w:hAnsi="Arial" w:cs="Arial"/>
                            <w:sz w:val="20"/>
                            <w:szCs w:val="20"/>
                          </w:rPr>
                          <w:t>This program is designed for first line managers who exercise leadership and whose responsibilities require a concrete foundation of different management tools. The program is excellent for newly appointed managers who seek greater opportunities in the managerial career. 2 years of experience are considered a main prerequisite to join the program.</w:t>
                        </w:r>
                      </w:p>
                    </w:tc>
                  </w:tr>
                  <w:tr w:rsidR="00A95113">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vAlign w:val="center"/>
                        <w:hideMark/>
                      </w:tcPr>
                      <w:p w:rsidR="00A95113" w:rsidRDefault="00A95113">
                        <w:pPr>
                          <w:pStyle w:val="Heading1"/>
                          <w:spacing w:before="0" w:beforeAutospacing="0" w:after="0" w:afterAutospacing="0"/>
                          <w:rPr>
                            <w:rFonts w:eastAsia="Times New Roman"/>
                          </w:rPr>
                        </w:pPr>
                        <w:r>
                          <w:rPr>
                            <w:rFonts w:ascii="Arial" w:eastAsia="Times New Roman" w:hAnsi="Arial" w:cs="Arial"/>
                            <w:color w:val="FF9900"/>
                            <w:sz w:val="27"/>
                            <w:szCs w:val="27"/>
                          </w:rPr>
                          <w:t>Instructors' Profile</w:t>
                        </w:r>
                      </w:p>
                      <w:p w:rsidR="00A95113" w:rsidRDefault="00A95113">
                        <w:r>
                          <w:rPr>
                            <w:rFonts w:ascii="Arial" w:hAnsi="Arial" w:cs="Arial"/>
                            <w:sz w:val="20"/>
                            <w:szCs w:val="20"/>
                          </w:rPr>
                          <w:t xml:space="preserve">This program is conducted by a group of instructor from different areas of management and that are equipped with a solid scientific academic background in addition to a long comprehensive managerial professional background. The </w:t>
                        </w:r>
                        <w:r>
                          <w:rPr>
                            <w:rFonts w:ascii="Arial" w:hAnsi="Arial" w:cs="Arial"/>
                            <w:sz w:val="20"/>
                            <w:szCs w:val="20"/>
                          </w:rPr>
                          <w:lastRenderedPageBreak/>
                          <w:t>instructors have an optimum capacity to combine the academic side of the program with intense case-studies which will help participant visualize and practice real life examples inside the classroom.</w:t>
                        </w:r>
                      </w:p>
                    </w:tc>
                  </w:tr>
                </w:tbl>
                <w:p w:rsidR="00A95113" w:rsidRDefault="00A95113">
                  <w:pPr>
                    <w:rPr>
                      <w:rFonts w:eastAsia="Times New Roman"/>
                      <w:sz w:val="20"/>
                      <w:szCs w:val="20"/>
                    </w:rPr>
                  </w:pPr>
                </w:p>
              </w:tc>
            </w:tr>
            <w:tr w:rsidR="00A95113">
              <w:trPr>
                <w:tblCellSpacing w:w="0" w:type="dxa"/>
                <w:jc w:val="center"/>
              </w:trPr>
              <w:tc>
                <w:tcPr>
                  <w:tcW w:w="0" w:type="auto"/>
                  <w:gridSpan w:val="2"/>
                  <w:shd w:val="clear" w:color="auto" w:fill="FFFFFF"/>
                  <w:tcMar>
                    <w:top w:w="300" w:type="dxa"/>
                    <w:left w:w="300" w:type="dxa"/>
                    <w:bottom w:w="300" w:type="dxa"/>
                    <w:right w:w="300" w:type="dxa"/>
                  </w:tcMar>
                  <w:vAlign w:val="center"/>
                  <w:hideMark/>
                </w:tcPr>
                <w:p w:rsidR="00A95113" w:rsidRDefault="00A95113">
                  <w:pPr>
                    <w:jc w:val="center"/>
                    <w:rPr>
                      <w:rFonts w:ascii="Arial" w:hAnsi="Arial" w:cs="Arial"/>
                      <w:sz w:val="20"/>
                      <w:szCs w:val="20"/>
                    </w:rPr>
                  </w:pPr>
                  <w:r>
                    <w:rPr>
                      <w:rFonts w:ascii="Arial" w:hAnsi="Arial" w:cs="Arial"/>
                      <w:noProof/>
                      <w:sz w:val="20"/>
                      <w:szCs w:val="20"/>
                    </w:rPr>
                    <w:lastRenderedPageBreak/>
                    <w:drawing>
                      <wp:inline distT="0" distB="0" distL="0" distR="0">
                        <wp:extent cx="4286250" cy="19050"/>
                        <wp:effectExtent l="0" t="0" r="0" b="0"/>
                        <wp:docPr id="2" name="Picture 2"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_line.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p w:rsidR="00A95113" w:rsidRDefault="00A95113">
                  <w:pPr>
                    <w:pStyle w:val="NormalWeb"/>
                    <w:jc w:val="center"/>
                    <w:rPr>
                      <w:rFonts w:ascii="Arial" w:hAnsi="Arial" w:cs="Arial"/>
                      <w:sz w:val="20"/>
                      <w:szCs w:val="20"/>
                    </w:rPr>
                  </w:pPr>
                  <w:r>
                    <w:rPr>
                      <w:rStyle w:val="Strong"/>
                      <w:rFonts w:ascii="Arial" w:hAnsi="Arial" w:cs="Arial"/>
                    </w:rPr>
                    <w:t>Hotline</w:t>
                  </w:r>
                  <w:r>
                    <w:rPr>
                      <w:rFonts w:ascii="Arial" w:hAnsi="Arial" w:cs="Arial"/>
                      <w:b/>
                      <w:bCs/>
                      <w:color w:val="993333"/>
                    </w:rPr>
                    <w:t xml:space="preserve"> </w:t>
                  </w:r>
                  <w:r>
                    <w:rPr>
                      <w:rFonts w:ascii="Arial" w:hAnsi="Arial" w:cs="Arial"/>
                      <w:b/>
                      <w:bCs/>
                      <w:color w:val="FF9900"/>
                    </w:rPr>
                    <w:t>16147</w:t>
                  </w:r>
                  <w:r>
                    <w:rPr>
                      <w:rFonts w:ascii="Arial" w:hAnsi="Arial" w:cs="Arial"/>
                      <w:sz w:val="20"/>
                      <w:szCs w:val="20"/>
                    </w:rPr>
                    <w:br/>
                    <w:t xml:space="preserve">11A Hassan </w:t>
                  </w:r>
                  <w:proofErr w:type="spellStart"/>
                  <w:r>
                    <w:rPr>
                      <w:rFonts w:ascii="Arial" w:hAnsi="Arial" w:cs="Arial"/>
                      <w:sz w:val="20"/>
                      <w:szCs w:val="20"/>
                    </w:rPr>
                    <w:t>Sabry</w:t>
                  </w:r>
                  <w:proofErr w:type="spellEnd"/>
                  <w:r>
                    <w:rPr>
                      <w:rFonts w:ascii="Arial" w:hAnsi="Arial" w:cs="Arial"/>
                      <w:sz w:val="20"/>
                      <w:szCs w:val="20"/>
                    </w:rPr>
                    <w:t xml:space="preserve"> St., </w:t>
                  </w:r>
                  <w:proofErr w:type="spellStart"/>
                  <w:r>
                    <w:rPr>
                      <w:rFonts w:ascii="Arial" w:hAnsi="Arial" w:cs="Arial"/>
                      <w:sz w:val="20"/>
                      <w:szCs w:val="20"/>
                    </w:rPr>
                    <w:t>Zamalek</w:t>
                  </w:r>
                  <w:proofErr w:type="spellEnd"/>
                  <w:r>
                    <w:rPr>
                      <w:rFonts w:ascii="Arial" w:hAnsi="Arial" w:cs="Arial"/>
                      <w:sz w:val="20"/>
                      <w:szCs w:val="20"/>
                    </w:rPr>
                    <w:t>, 11211 Cairo, Egypt</w:t>
                  </w:r>
                  <w:r>
                    <w:rPr>
                      <w:rFonts w:ascii="Arial" w:hAnsi="Arial" w:cs="Arial"/>
                      <w:sz w:val="20"/>
                      <w:szCs w:val="20"/>
                    </w:rPr>
                    <w:br/>
                    <w:t>T +202 2737 6006 – 2737 5206/7 | F +202 2739 1380 | M +2010 6688 959</w:t>
                  </w:r>
                  <w:r>
                    <w:rPr>
                      <w:rFonts w:ascii="Arial" w:hAnsi="Arial" w:cs="Arial"/>
                      <w:sz w:val="20"/>
                      <w:szCs w:val="20"/>
                    </w:rPr>
                    <w:br/>
                    <w:t xml:space="preserve">E </w:t>
                  </w:r>
                  <w:hyperlink r:id="rId24" w:history="1">
                    <w:r>
                      <w:rPr>
                        <w:rStyle w:val="Hyperlink"/>
                        <w:rFonts w:ascii="Arial" w:hAnsi="Arial" w:cs="Arial"/>
                        <w:sz w:val="20"/>
                        <w:szCs w:val="20"/>
                      </w:rPr>
                      <w:t>info@riti.org</w:t>
                    </w:r>
                  </w:hyperlink>
                  <w:r>
                    <w:rPr>
                      <w:rFonts w:ascii="Arial" w:hAnsi="Arial" w:cs="Arial"/>
                      <w:sz w:val="20"/>
                      <w:szCs w:val="20"/>
                    </w:rPr>
                    <w:t xml:space="preserve"> | W </w:t>
                  </w:r>
                  <w:hyperlink r:id="rId25" w:tgtFrame="_blank" w:history="1">
                    <w:r>
                      <w:rPr>
                        <w:rStyle w:val="Hyperlink"/>
                        <w:rFonts w:ascii="Arial" w:hAnsi="Arial" w:cs="Arial"/>
                        <w:sz w:val="20"/>
                        <w:szCs w:val="20"/>
                      </w:rPr>
                      <w:t>http://www.riti.org</w:t>
                    </w:r>
                  </w:hyperlink>
                </w:p>
                <w:p w:rsidR="00A95113" w:rsidRDefault="00A95113">
                  <w:pPr>
                    <w:jc w:val="center"/>
                    <w:rPr>
                      <w:rFonts w:ascii="Arial" w:hAnsi="Arial" w:cs="Arial"/>
                      <w:sz w:val="20"/>
                      <w:szCs w:val="20"/>
                    </w:rPr>
                  </w:pPr>
                  <w:r>
                    <w:rPr>
                      <w:rFonts w:ascii="Arial" w:hAnsi="Arial" w:cs="Arial"/>
                      <w:noProof/>
                      <w:sz w:val="20"/>
                      <w:szCs w:val="20"/>
                    </w:rPr>
                    <w:drawing>
                      <wp:inline distT="0" distB="0" distL="0" distR="0">
                        <wp:extent cx="4286250" cy="19050"/>
                        <wp:effectExtent l="0" t="0" r="0" b="0"/>
                        <wp:docPr id="1" name="Picture 1"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_line.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tc>
            </w:tr>
            <w:tr w:rsidR="00A95113" w:rsidTr="00A95113">
              <w:trPr>
                <w:tblCellSpacing w:w="0" w:type="dxa"/>
                <w:jc w:val="center"/>
              </w:trPr>
              <w:tc>
                <w:tcPr>
                  <w:tcW w:w="0" w:type="auto"/>
                  <w:gridSpan w:val="2"/>
                  <w:shd w:val="clear" w:color="auto" w:fill="FFFFFF"/>
                  <w:vAlign w:val="center"/>
                </w:tcPr>
                <w:p w:rsidR="00A95113" w:rsidRDefault="00A95113">
                  <w:pPr>
                    <w:jc w:val="center"/>
                    <w:rPr>
                      <w:rFonts w:ascii="Arial" w:hAnsi="Arial" w:cs="Arial"/>
                      <w:color w:val="666666"/>
                      <w:sz w:val="17"/>
                      <w:szCs w:val="17"/>
                    </w:rPr>
                  </w:pPr>
                </w:p>
              </w:tc>
            </w:tr>
          </w:tbl>
          <w:p w:rsidR="00A95113" w:rsidRDefault="00A95113">
            <w:pPr>
              <w:jc w:val="center"/>
              <w:rPr>
                <w:rFonts w:eastAsia="Times New Roman"/>
                <w:sz w:val="20"/>
                <w:szCs w:val="20"/>
              </w:rPr>
            </w:pPr>
          </w:p>
        </w:tc>
        <w:tc>
          <w:tcPr>
            <w:tcW w:w="0" w:type="auto"/>
            <w:shd w:val="clear" w:color="auto" w:fill="FFFFFF"/>
            <w:hideMark/>
          </w:tcPr>
          <w:p w:rsidR="00A95113" w:rsidRDefault="00A95113">
            <w:pPr>
              <w:rPr>
                <w:sz w:val="20"/>
                <w:szCs w:val="20"/>
              </w:rPr>
            </w:pPr>
            <w:r>
              <w:rPr>
                <w:noProof/>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 cy="1514475"/>
                  <wp:effectExtent l="0" t="0" r="0" b="9525"/>
                  <wp:wrapSquare wrapText="bothSides"/>
                  <wp:docPr id="9" name="Picture 9" descr="897d43ed47a07b13148697d500c6e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97d43ed47a07b13148697d500c6e1a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1514475"/>
                          </a:xfrm>
                          <a:prstGeom prst="rect">
                            <a:avLst/>
                          </a:prstGeom>
                          <a:noFill/>
                        </pic:spPr>
                      </pic:pic>
                    </a:graphicData>
                  </a:graphic>
                  <wp14:sizeRelH relativeFrom="page">
                    <wp14:pctWidth>0</wp14:pctWidth>
                  </wp14:sizeRelH>
                  <wp14:sizeRelV relativeFrom="page">
                    <wp14:pctHeight>0</wp14:pctHeight>
                  </wp14:sizeRelV>
                </wp:anchor>
              </w:drawing>
            </w:r>
          </w:p>
        </w:tc>
      </w:tr>
    </w:tbl>
    <w:p w:rsidR="0019311D" w:rsidRDefault="0019311D"/>
    <w:sectPr w:rsidR="00193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7E83"/>
    <w:multiLevelType w:val="multilevel"/>
    <w:tmpl w:val="9766C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77F0BED"/>
    <w:multiLevelType w:val="multilevel"/>
    <w:tmpl w:val="63B48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9B"/>
    <w:rsid w:val="00057C9B"/>
    <w:rsid w:val="0019311D"/>
    <w:rsid w:val="00A95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1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9511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11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A95113"/>
    <w:rPr>
      <w:color w:val="0000FF"/>
      <w:u w:val="single"/>
    </w:rPr>
  </w:style>
  <w:style w:type="paragraph" w:styleId="NormalWeb">
    <w:name w:val="Normal (Web)"/>
    <w:basedOn w:val="Normal"/>
    <w:uiPriority w:val="99"/>
    <w:unhideWhenUsed/>
    <w:rsid w:val="00A95113"/>
    <w:pPr>
      <w:spacing w:before="100" w:beforeAutospacing="1" w:after="100" w:afterAutospacing="1"/>
    </w:pPr>
  </w:style>
  <w:style w:type="character" w:styleId="Strong">
    <w:name w:val="Strong"/>
    <w:basedOn w:val="DefaultParagraphFont"/>
    <w:uiPriority w:val="22"/>
    <w:qFormat/>
    <w:rsid w:val="00A95113"/>
    <w:rPr>
      <w:b/>
      <w:bCs/>
    </w:rPr>
  </w:style>
  <w:style w:type="paragraph" w:styleId="BalloonText">
    <w:name w:val="Balloon Text"/>
    <w:basedOn w:val="Normal"/>
    <w:link w:val="BalloonTextChar"/>
    <w:uiPriority w:val="99"/>
    <w:semiHidden/>
    <w:unhideWhenUsed/>
    <w:rsid w:val="00A95113"/>
    <w:rPr>
      <w:rFonts w:ascii="Tahoma" w:hAnsi="Tahoma" w:cs="Tahoma"/>
      <w:sz w:val="16"/>
      <w:szCs w:val="16"/>
    </w:rPr>
  </w:style>
  <w:style w:type="character" w:customStyle="1" w:styleId="BalloonTextChar">
    <w:name w:val="Balloon Text Char"/>
    <w:basedOn w:val="DefaultParagraphFont"/>
    <w:link w:val="BalloonText"/>
    <w:uiPriority w:val="99"/>
    <w:semiHidden/>
    <w:rsid w:val="00A95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1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9511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11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A95113"/>
    <w:rPr>
      <w:color w:val="0000FF"/>
      <w:u w:val="single"/>
    </w:rPr>
  </w:style>
  <w:style w:type="paragraph" w:styleId="NormalWeb">
    <w:name w:val="Normal (Web)"/>
    <w:basedOn w:val="Normal"/>
    <w:uiPriority w:val="99"/>
    <w:unhideWhenUsed/>
    <w:rsid w:val="00A95113"/>
    <w:pPr>
      <w:spacing w:before="100" w:beforeAutospacing="1" w:after="100" w:afterAutospacing="1"/>
    </w:pPr>
  </w:style>
  <w:style w:type="character" w:styleId="Strong">
    <w:name w:val="Strong"/>
    <w:basedOn w:val="DefaultParagraphFont"/>
    <w:uiPriority w:val="22"/>
    <w:qFormat/>
    <w:rsid w:val="00A95113"/>
    <w:rPr>
      <w:b/>
      <w:bCs/>
    </w:rPr>
  </w:style>
  <w:style w:type="paragraph" w:styleId="BalloonText">
    <w:name w:val="Balloon Text"/>
    <w:basedOn w:val="Normal"/>
    <w:link w:val="BalloonTextChar"/>
    <w:uiPriority w:val="99"/>
    <w:semiHidden/>
    <w:unhideWhenUsed/>
    <w:rsid w:val="00A95113"/>
    <w:rPr>
      <w:rFonts w:ascii="Tahoma" w:hAnsi="Tahoma" w:cs="Tahoma"/>
      <w:sz w:val="16"/>
      <w:szCs w:val="16"/>
    </w:rPr>
  </w:style>
  <w:style w:type="character" w:customStyle="1" w:styleId="BalloonTextChar">
    <w:name w:val="Balloon Text Char"/>
    <w:basedOn w:val="DefaultParagraphFont"/>
    <w:link w:val="BalloonText"/>
    <w:uiPriority w:val="99"/>
    <w:semiHidden/>
    <w:rsid w:val="00A95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mailer.riti-events.org/link.php?M=24243&amp;N=99&amp;L=9&amp;F=H" TargetMode="External"/><Relationship Id="rId18" Type="http://schemas.openxmlformats.org/officeDocument/2006/relationships/hyperlink" Target="http://mailer.riti-events.org/sendfriend.php?M=24243&amp;C=b9ed002a1a71cd84325cb9b529553ffd&amp;L=13&amp;N=99&amp;F=4&amp;i=43" TargetMode="External"/><Relationship Id="rId26"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cid:8ba416cbf2225bb72a2e5d268bf721d2" TargetMode="External"/><Relationship Id="rId7" Type="http://schemas.openxmlformats.org/officeDocument/2006/relationships/image" Target="media/image2.jpeg"/><Relationship Id="rId12" Type="http://schemas.openxmlformats.org/officeDocument/2006/relationships/image" Target="cid:27e00c8373c0ace427087af755c3db41" TargetMode="External"/><Relationship Id="rId17" Type="http://schemas.openxmlformats.org/officeDocument/2006/relationships/hyperlink" Target="mailto:subscribe@riti.org" TargetMode="External"/><Relationship Id="rId25" Type="http://schemas.openxmlformats.org/officeDocument/2006/relationships/hyperlink" Target="http://mailer.riti-events.org/link.php?M=24243&amp;N=99&amp;L=2&amp;F=H" TargetMode="External"/><Relationship Id="rId2" Type="http://schemas.openxmlformats.org/officeDocument/2006/relationships/styles" Target="styles.xml"/><Relationship Id="rId16" Type="http://schemas.openxmlformats.org/officeDocument/2006/relationships/hyperlink" Target="http://mailer.riti-events.org/link.php?M=24243&amp;N=99&amp;L=9&amp;F=H"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mailto:info@riti.org" TargetMode="External"/><Relationship Id="rId5" Type="http://schemas.openxmlformats.org/officeDocument/2006/relationships/webSettings" Target="webSettings.xml"/><Relationship Id="rId15" Type="http://schemas.openxmlformats.org/officeDocument/2006/relationships/image" Target="cid:image001.png@01CDCBD0.3D5E9FE0" TargetMode="External"/><Relationship Id="rId23" Type="http://schemas.openxmlformats.org/officeDocument/2006/relationships/image" Target="cid:a3b81946cf10082b97272c3da48f1610" TargetMode="External"/><Relationship Id="rId28" Type="http://schemas.openxmlformats.org/officeDocument/2006/relationships/theme" Target="theme/theme1.xml"/><Relationship Id="rId10" Type="http://schemas.openxmlformats.org/officeDocument/2006/relationships/image" Target="cid:bb8fac4bdc7b6d773981b2177077bc2d" TargetMode="External"/><Relationship Id="rId19" Type="http://schemas.openxmlformats.org/officeDocument/2006/relationships/hyperlink" Target="http://mailer.riti-events.org/link.php?M=24243&amp;N=99&amp;L=2&amp;F=H"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6.pn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2</cp:revision>
  <dcterms:created xsi:type="dcterms:W3CDTF">2012-11-28T09:57:00Z</dcterms:created>
  <dcterms:modified xsi:type="dcterms:W3CDTF">2012-11-28T10:00:00Z</dcterms:modified>
</cp:coreProperties>
</file>